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352</w:t>
      </w:r>
    </w:p>
    <w:p>
      <w:r>
        <w:t>Bundesgericht (BGE), 1974-09-24, FR</w:t>
      </w:r>
    </w:p>
    <w:p>
      <w:r>
        <w:rPr>
          <w:b/>
        </w:rPr>
        <w:t xml:space="preserve">Quelle: </w:t>
      </w:r>
      <w:r>
        <w:t>https://mcp.opencaselaw.ch/entscheid/bge_100 II 352</w:t>
      </w:r>
    </w:p>
    <w:p>
      <w:r>
        <w:t>FR: ATF 100 II 352</w:t>
      </w:r>
    </w:p>
    <w:p>
      <w:r>
        <w:t>IT: DTF 100 II 352</w:t>
      </w:r>
    </w:p>
    <w:p>
      <w:pPr>
        <w:pStyle w:val="Heading2"/>
      </w:pPr>
      <w:r>
        <w:t>Regeste</w:t>
      </w:r>
    </w:p>
    <w:p>
      <w:r>
        <w:t>Regeste Art. 339 aoR, Haftung des Arbeitgebers. Verschulden des Arbeitgebers, der eine für den Haushalt bestimmte heizbare Wäschemange nicht mit den geeigneten Sicherheitsvorkehren versehen und die Arbeitnehmerin nicht über die Gefahren der Maschine unterrichtet hat (Erw. 2 a). Herabsetzung des Schadenersatzes wegen Mitverschuldens der Verunfallten (Erw. 2 b). Medizinische Invalidität und Erwerbsunfähigkeit (Erw. 5). Bestimmung des künftigen Erwerbsausfalles unter Berücksichtigung von Tätigkeit und Alter der Verunfallten sowie deren Absicht, in ihre Heimat zurückzukehren (Erw. 6).</w:t>
      </w:r>
    </w:p>
    <w:p>
      <w:pPr>
        <w:pStyle w:val="Heading2"/>
      </w:pPr>
      <w:r>
        <w:t>Erwägungen</w:t>
      </w:r>
    </w:p>
    <w:p>
      <w:r>
        <w:rPr>
          <w:b/>
        </w:rPr>
        <w:t>E. 2</w:t>
      </w:r>
    </w:p>
    <w:p>
      <w:r>
        <w:t>Les recourants ne contestent pas le principe de leur responsabilité civile pour le dommage subi par l'intimée, au regard de l'art. 339 CO ancien. Ils font valoir que leur comportement a été apprécié de façon rigoureuse et que le Tribunal cantonal a nié à tort l'existence d'une faute de la lésée. Ils proposent de fixer à un tiers le facteur de réduction de leur responsabilité afférent à cette faute. a) La faute imputable à l'employeur. en l'espèce est de même nature que celle qu'a retenue le Tribunal fédéral dans l'arrêt Vuerchoz du 11 mars 1969 (RO 95 II 132 ss.). Cet arrêt rappelle que l'art. 339 CO ancien impose à l'employeur un double devoir: d'une part, il doit munir les installations et les machines dangereuses de dispositifs de sécurité adéquats selon l'état de la technique; d'autre part, il est tenu d'instruire les employés des risques auxquels ils sont exposés et de leur prescrire le comportement à adopter pour les éviter; la nature et l'étendue des précautions qui incombent à l'employeur sont déterminées dans une large mesure par la personne de l'employé, sa formation, ses capacités (consid. 1, p. 137). Le devoir de diligence de l'employeur doit être apprécié selon des exigences rigoureuses; il comprend la prévention de tout accident qui n'est pas dû à un comportement imprévisible et constitutif d'une faute grave de la victime (consid. 2, p. 140). Examinée à la lumière de ces principes, la responsabilité des défendeurs est manifestement engagée. Selon le rapport BGE 100 II 352 S. 355 d'expertise, la calandre en cause ne comporte pas le dispositif de sécurité - "barrière de protection" - qui équipe obligatoirement les calandres chauffantes utilisées dans des entreprises à caractère industriel. Elle possède un débrayage que l'on peut actionner avec la main ou avec le genou en opérant une pression vers la droite, ainsi qu'un levier actionné au pied qui, en abaissant le berceau chauffant, permet de dégager un drap plissé ou une main prise. Sans réflexes rapides et conditionnés, ces manoeuvres ne peuvent cependant être efficaces parce que tardives. Les dispositifs en question sont ainsi insuffisants en ce qui concerne la sécurité du personnel servant. A l'instar des premiers juges, la cour de céans ne peut que se rallier aux conclusions de l'expert et admettre que la machine à l'origine de l'accident, bien que présentant un danger caractérisé, n'était pas munie des dispositifs de sécurité adéquats. La responsabilité de l'employeur est dès lors engagée; peu importe que, selon l'expert, "la majorité, sinon la totalité, des calandres à usage ménager sont construites sur la base du même principe". Le coût et la pose d'un dispositif de sécurité, qui aurait porté en 1968 le capital investi dans la machine de 1857 fr. à 2753 fr., n'était en effet pas tel que cette mesure de prévention ne pût être imposée aux défendeurs. Le jugement déféré constate au surplus que si la demanderesse a été initiée au fonctionnement de la calandre par sa soeur, les défendeurs "ne se sont pas souciés de son instruction" à ce sujet et qu'ils "n'ont pas attiré son attention sur les risques qui guettent le servant" de cette machine. Leur responsabilité est donc engagée à ce titre également. b) Le Tribunal cantonal considère qu'il n'est pas établi, ni même allégué que la demanderesse ait commis une erreur de manipulation, qu'elle ait placé sa main de manière imprudente sous la presse pour se faciliter le travail; rien ne permet selon lui d'imaginer l'existence d'une quelconque faute à la charge de la demanderesse. En l'absence d'une barre de sécurité arrêtant automatiquement le mouvement du cylindre, le danger propre à l'utilisation de la calandre en cause est évident. Tout usager, même non averti, doit avoir conscience qu'en avançant les doigts trop près du rouleau, il s'expose au risque qu'ils soient entraînés par le mouvement de celui-ci. Lorsque les premiers juges considèrent, pour nier l'existence d'une faute de la demanderesse, BGE 100 II 352 S. 356 qu'il n'est pas établi ni même allégué qu'elle ait placé sa main de manière imprudente sous la presse, ils méconnaissent que l'accident n'a pu se produire qu'à la suite d'une telle imprudence. Les défendeurs ont toujours fait valoir cette faute, qui est patente; sans elle, l'accident serait inexplicable. Or des faits dont on doit présumer qu'ils se sont déroulés dans le cours naturel des choses peuvent être mis à la base d'un jugement, même s'ils ne sont pas établis par une preuve, à moins que la partie adverse n'allègue ou ne prouve des circonstances de nature à mettre leur exactitude en doute (RO 85 II 190; arrêt non publié Walker c. Hefti, du 15 mars 1974, consid. 3 c p. 12; KUMMER, n. 362 ss. ad art. 8 CC; GULDENER, Schweizerisches Zivilprozessrecht, 2e éd., p. 341, 345; DESCHENAUX, Der Einleitungstitel, Schweizerisches Privatrecht II, p. 268). En l'espèce, la demanderesse n'a pas tenté de fournir une autre explication des causes de l'accident. C'est donc à tort que le Tribunal cantonal a nié l'existence d'une faute de la demanderesse. Quant à la proportion dans laquelle il convient de réduire les dommages-intérêts, le taux d'un tiers que proposent les recourants n'est pas excessif au regard de l'imprudence commise par l'intimée.</w:t>
      </w:r>
    </w:p>
    <w:p>
      <w:r>
        <w:rPr>
          <w:b/>
        </w:rPr>
        <w:t>E. 5</w:t>
      </w:r>
    </w:p>
    <w:p>
      <w:r>
        <w:t>Invoquant l'arrêt Rial (RO 99 II 214 ss.), les recourants reprochent aux premiers juges d'avoir pris pour base de leur calcul le taux de l'invalidité anatomique. Selon eux, toutes les activités auxquelles la demanderesse se livrait avant l'accident lui resteraient ouvertes après celui-ci. C'est essentiellement le facteur social, à savoir la difficulté accrue pour une personne mutilée de trouver un emploi, notamment en cas de récession, qui devrait être pris en considération pour déterminer l'atteinte à l'avenir économique. Il est vrai que le taux d'invalidité de 31,5% fixé par l'expert médical, et adopté par le Tribunal cantonal, repose sur l'estimation du seul dommage anatomique, soit sur le pourcentage de 24% admis de manière générale par la compagnie d'assurances Zurich pour la perte des trois derniers doigts de la main droite. Selon l'expert, il convient de retenir un supplément de 7,5% pour tenir compte de "facteurs sociaux tels que: difficulté de reclassement professionnel de la patiente en raison de son âge et handicap sur le marché du travail". Les premiers juges déclarent se rallier "au taux d'incapacité de travail de 31,5% que propose l'expert médical" en considérant BGE 100 II 352 S. 357 qu'"il ne s'agit pas là, selon l'expert lui-même, d'un taux purement médical, comme ont tenté de le soutenir les défendeurs. Au contraire, l'expert a tenu compte de l'âge de la demanderesse, du handicap que présente l'aspect de sa main pour son reclassement professionnel et sa recherche d'emploi." Ces considérations de l'autorité cantonale à l'appui de la solution adoptée montrent qu'elle n'a nullement confondu les notions de l'invalidité médicale et de l'incapacité de gain, comme le soutiennent les recourants. Elle n'a pas violé le droit fédéral en se fondant sur le taux de 31,5% proposé par l'expert médical et la cour de céans n'a aucun motif de s'écarter de cette appréciation.</w:t>
      </w:r>
    </w:p>
    <w:p>
      <w:r>
        <w:rPr>
          <w:b/>
        </w:rPr>
        <w:t>E. 6</w:t>
      </w:r>
    </w:p>
    <w:p>
      <w:r>
        <w:t>Partant d'un gain mensuel présumé de 850 fr. et d'une perte de gain de 31,5%, c'est-à-dire de 267 fr. 50, le Tribunal cantonal réduit ce montant à 250 fr. par mois, soit à 3000 fr. par an, pour tenir compte de la diminution, avec les années, des possibilités de travail de la demanderesse et de son intention de retourner en Espagne, où ses possibilités de gain seront inférieures à ce qu'elles sont en Suisse. Capitalisant cette somme selon les tables de STAUFFER/SCHAETZLE, il arrive à une indemnité de 33 150 fr. Critiquant ce calcul, les recourants considèrent comme improbable, vu la situation particulière de la demanderesse et son âge, qu'elle poursuive son activité au-delà de 65 ans. Ils proposent de retenir une perte de gain de 150 fr. par mois durant cinq ans, au total 9000 fr. Les premiers juges constatent que la demanderesse a manifesté l'intention de rentrer en Espagne où le gain qu'elle pourrait réaliser ne serait pas supérieur à 480 fr. par mois, alors que le salaire usuel normal correspondant à son emploi serait de 850 fr. en Suisse. Ils admettent dès lors avec raison l'existence de deux causes, indépendantes de l'accident, de diminution de la capacité de gain future de la demanderesse: d'une part son âge, 60 ans au moment déterminant pour la capitalisation; d'autre part les conditions de salaire inférieures de l'Espagne. Mais la réduction de la perte de gain mensuelle de 267 fr. 50 à 250 fr. ne tient pas suffisamment compte de ces deux facteurs. Selon l'expérience générale de la vie, une femme âgée de 60 ans ne trouvera pas jusqu'à la fin de la durée moyenne d'activité - de 14,29 ans d'après STAUFFER/SCHAETZLE (Barwerttafeln, 3e éd., p. 193) - un emploi d'aide de ménage, BGE 100 II 352 S. 358 rémunéré comme si elle était dans la force de l'âge. Compte tenu de l'entretien et du logement, la demanderesse aurait nécessairement dû tabler sur une réduction sensible de son salaire en espèces dans un avenir plus ou moins proche, ce qu'il faut prendre en considération (cf. RO 99 II 212 in initio; OFTINGER, Haftpflichtrecht, 2e éd., I p. 191; STAUFFER/SCHAETZLE, op.cit., p. 155), sans pour autant faire "abstraction de tout calcul de capitalisation", comme le proposent les recourants. Il convient en outre de tenir compte de l'intention manifestée par la recourante de retourner en Espagne, où elle utilisera le capital qui lui sera alloué, de manière à ce qu'elle ne jouisse pas d'une situation pécuniaire meilleure que celle qu'elle aurait eue en Suisse (cf. RO 97 II 131 s. consid. 6 i.f., 135 consid. 10 i.f.). Ces deux facteurs justifient la fixation d'une perte de gain mensuelle de 200 fr. comme base de calcul de l'indemnité pour atteinte à l'avenir économique de la demanderesse consécutive à l'accident. Capitalisée selon la table 20 de STAUFFER/SCHAETZLE (op. cit., p. 197, pour une femme de 60 ans, coefficient 1105), la perte annuelle de 2400 fr. représente 26520 fr. Après la réduction de 1/3 pour la faute de la demanderesse, celle-ci a droit à une indemnité de 17 860 fr., avec intérêt à 5% dès le 1er octobre 1973.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